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E8938" w14:textId="77777777" w:rsidR="000B22BB" w:rsidRDefault="000B22BB">
      <w:pPr>
        <w:pBdr>
          <w:top w:val="nil"/>
          <w:left w:val="nil"/>
          <w:bottom w:val="nil"/>
          <w:right w:val="nil"/>
          <w:between w:val="nil"/>
        </w:pBdr>
        <w:spacing w:line="276" w:lineRule="auto"/>
        <w:rPr>
          <w:rFonts w:ascii="Arial" w:eastAsia="Arial" w:hAnsi="Arial" w:cs="Arial"/>
          <w:color w:val="000000"/>
          <w:sz w:val="22"/>
          <w:szCs w:val="22"/>
        </w:rPr>
      </w:pPr>
    </w:p>
    <w:tbl>
      <w:tblPr>
        <w:tblStyle w:val="a"/>
        <w:tblW w:w="9648" w:type="dxa"/>
        <w:jc w:val="center"/>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648"/>
      </w:tblGrid>
      <w:tr w:rsidR="000B22BB" w14:paraId="24D47656" w14:textId="77777777">
        <w:trPr>
          <w:jc w:val="center"/>
        </w:trPr>
        <w:tc>
          <w:tcPr>
            <w:tcW w:w="9648" w:type="dxa"/>
            <w:shd w:val="clear" w:color="auto" w:fill="E0E0E0"/>
          </w:tcPr>
          <w:p w14:paraId="293301B0" w14:textId="77777777" w:rsidR="000B22BB" w:rsidRDefault="00F80C59">
            <w:pPr>
              <w:spacing w:before="120" w:after="120"/>
              <w:rPr>
                <w:sz w:val="24"/>
                <w:szCs w:val="24"/>
              </w:rPr>
            </w:pPr>
            <w:r>
              <w:rPr>
                <w:b/>
                <w:sz w:val="24"/>
                <w:szCs w:val="24"/>
              </w:rPr>
              <w:t>Standard 7</w:t>
            </w:r>
            <w:r>
              <w:rPr>
                <w:b/>
                <w:sz w:val="24"/>
                <w:szCs w:val="24"/>
              </w:rPr>
              <w:t>: Admission/Enrolment</w:t>
            </w:r>
          </w:p>
        </w:tc>
      </w:tr>
      <w:tr w:rsidR="000B22BB" w14:paraId="0090DFFC" w14:textId="77777777">
        <w:trPr>
          <w:trHeight w:val="3200"/>
          <w:jc w:val="center"/>
        </w:trPr>
        <w:tc>
          <w:tcPr>
            <w:tcW w:w="9648" w:type="dxa"/>
          </w:tcPr>
          <w:p w14:paraId="05CC79F7" w14:textId="77777777" w:rsidR="000B22BB" w:rsidRDefault="00F80C59">
            <w:pPr>
              <w:spacing w:before="200" w:after="120"/>
              <w:jc w:val="both"/>
              <w:rPr>
                <w:sz w:val="24"/>
                <w:szCs w:val="24"/>
              </w:rPr>
            </w:pPr>
            <w:r>
              <w:rPr>
                <w:sz w:val="24"/>
                <w:szCs w:val="24"/>
              </w:rPr>
              <w:t xml:space="preserve">The admission/enrollment in the study program </w:t>
            </w:r>
            <w:r>
              <w:rPr>
                <w:b/>
                <w:sz w:val="24"/>
                <w:szCs w:val="24"/>
              </w:rPr>
              <w:t>Advanced Data Analytics</w:t>
            </w:r>
            <w:r>
              <w:rPr>
                <w:sz w:val="24"/>
                <w:szCs w:val="24"/>
              </w:rPr>
              <w:t xml:space="preserve"> the University of Belgrade assumes the following:</w:t>
            </w:r>
          </w:p>
          <w:p w14:paraId="106FBF77" w14:textId="77777777" w:rsidR="000B22BB" w:rsidRDefault="00F80C59">
            <w:pPr>
              <w:widowControl/>
              <w:numPr>
                <w:ilvl w:val="0"/>
                <w:numId w:val="1"/>
              </w:numPr>
              <w:jc w:val="both"/>
              <w:rPr>
                <w:sz w:val="24"/>
                <w:szCs w:val="24"/>
              </w:rPr>
            </w:pPr>
            <w:r>
              <w:rPr>
                <w:sz w:val="24"/>
                <w:szCs w:val="24"/>
              </w:rPr>
              <w:t>the students already have a minimum background in statistics</w:t>
            </w:r>
          </w:p>
          <w:p w14:paraId="2A10FDB1" w14:textId="77777777" w:rsidR="000B22BB" w:rsidRDefault="00F80C59">
            <w:pPr>
              <w:widowControl/>
              <w:numPr>
                <w:ilvl w:val="0"/>
                <w:numId w:val="1"/>
              </w:numPr>
              <w:jc w:val="both"/>
              <w:rPr>
                <w:sz w:val="24"/>
                <w:szCs w:val="24"/>
              </w:rPr>
            </w:pPr>
            <w:r>
              <w:rPr>
                <w:sz w:val="24"/>
                <w:szCs w:val="24"/>
              </w:rPr>
              <w:t>the students have mastered minimum mathematical foundations in high school, through a certain number of courses, necessary for each university graduate (regardless of the domain/discipline of the</w:t>
            </w:r>
            <w:r>
              <w:rPr>
                <w:sz w:val="24"/>
                <w:szCs w:val="24"/>
              </w:rPr>
              <w:t>ir previous degree)</w:t>
            </w:r>
          </w:p>
          <w:p w14:paraId="68E13163" w14:textId="77777777" w:rsidR="000B22BB" w:rsidRDefault="00F80C59">
            <w:pPr>
              <w:widowControl/>
              <w:numPr>
                <w:ilvl w:val="0"/>
                <w:numId w:val="1"/>
              </w:numPr>
              <w:jc w:val="both"/>
              <w:rPr>
                <w:sz w:val="24"/>
                <w:szCs w:val="24"/>
              </w:rPr>
            </w:pPr>
            <w:r>
              <w:rPr>
                <w:sz w:val="24"/>
                <w:szCs w:val="24"/>
              </w:rPr>
              <w:t>the students have mastered the basics of using computers and the Internet, and are sufficiently familiar with tabular data representations, data graphing and plotting</w:t>
            </w:r>
          </w:p>
          <w:p w14:paraId="223084C0" w14:textId="77777777" w:rsidR="000B22BB" w:rsidRDefault="00F80C59">
            <w:pPr>
              <w:widowControl/>
              <w:spacing w:before="200" w:after="200"/>
              <w:jc w:val="both"/>
              <w:rPr>
                <w:sz w:val="24"/>
                <w:szCs w:val="24"/>
              </w:rPr>
            </w:pPr>
            <w:r>
              <w:rPr>
                <w:sz w:val="24"/>
                <w:szCs w:val="24"/>
              </w:rPr>
              <w:t>Before the actual admission/enrollment, potential candidates are informed about the effort expected from them in this study program:</w:t>
            </w:r>
          </w:p>
          <w:p w14:paraId="3A616ECD" w14:textId="77777777" w:rsidR="000B22BB" w:rsidRDefault="00F80C59">
            <w:pPr>
              <w:widowControl/>
              <w:numPr>
                <w:ilvl w:val="0"/>
                <w:numId w:val="1"/>
              </w:numPr>
              <w:jc w:val="both"/>
              <w:rPr>
                <w:sz w:val="24"/>
                <w:szCs w:val="24"/>
              </w:rPr>
            </w:pPr>
            <w:r>
              <w:rPr>
                <w:sz w:val="24"/>
                <w:szCs w:val="24"/>
              </w:rPr>
              <w:t>good candidates who don't meet the above assumptions are required to take a preparatory, not-for-credit course (although so</w:t>
            </w:r>
            <w:r>
              <w:rPr>
                <w:sz w:val="24"/>
                <w:szCs w:val="24"/>
              </w:rPr>
              <w:t>me introductory material will be covered as part of different courses they will take)</w:t>
            </w:r>
          </w:p>
          <w:p w14:paraId="46E47907" w14:textId="77777777" w:rsidR="000B22BB" w:rsidRDefault="00F80C59">
            <w:pPr>
              <w:widowControl/>
              <w:numPr>
                <w:ilvl w:val="0"/>
                <w:numId w:val="1"/>
              </w:numPr>
              <w:jc w:val="both"/>
              <w:rPr>
                <w:sz w:val="24"/>
                <w:szCs w:val="24"/>
              </w:rPr>
            </w:pPr>
            <w:bookmarkStart w:id="0" w:name="_GoBack"/>
            <w:r>
              <w:rPr>
                <w:sz w:val="24"/>
                <w:szCs w:val="24"/>
              </w:rPr>
              <w:t>the students need to acquire advanced skills in the field of quantitative data modelling, analysis and visualization, as well as in programming for data analytics and app</w:t>
            </w:r>
            <w:r>
              <w:rPr>
                <w:sz w:val="24"/>
                <w:szCs w:val="24"/>
              </w:rPr>
              <w:t>lying appropriate software tools in data analytics problems</w:t>
            </w:r>
          </w:p>
          <w:p w14:paraId="4603D11E" w14:textId="77777777" w:rsidR="000B22BB" w:rsidRDefault="00F80C59">
            <w:pPr>
              <w:widowControl/>
              <w:numPr>
                <w:ilvl w:val="0"/>
                <w:numId w:val="1"/>
              </w:numPr>
              <w:jc w:val="both"/>
              <w:rPr>
                <w:sz w:val="24"/>
                <w:szCs w:val="24"/>
              </w:rPr>
            </w:pPr>
            <w:r>
              <w:rPr>
                <w:sz w:val="24"/>
                <w:szCs w:val="24"/>
              </w:rPr>
              <w:t>it is required for students to develop an awareness of a broad spectrum of possibilities that advanced data analytics cover in different application domains</w:t>
            </w:r>
          </w:p>
          <w:p w14:paraId="1B7A41FE" w14:textId="77777777" w:rsidR="000B22BB" w:rsidRDefault="00F80C59">
            <w:pPr>
              <w:widowControl/>
              <w:numPr>
                <w:ilvl w:val="0"/>
                <w:numId w:val="1"/>
              </w:numPr>
              <w:jc w:val="both"/>
              <w:rPr>
                <w:sz w:val="24"/>
                <w:szCs w:val="24"/>
              </w:rPr>
            </w:pPr>
            <w:r>
              <w:rPr>
                <w:sz w:val="24"/>
                <w:szCs w:val="24"/>
              </w:rPr>
              <w:t>it is required for students to get appr</w:t>
            </w:r>
            <w:r>
              <w:rPr>
                <w:sz w:val="24"/>
                <w:szCs w:val="24"/>
              </w:rPr>
              <w:t>opriate understanding of legal, ethical and administrative constraints when working with data analytics, as well as to develop their soft skills (communication, collaboration, problem solving, etc.) necessary for working in data analytics teams</w:t>
            </w:r>
          </w:p>
          <w:p w14:paraId="3C427BCD" w14:textId="77777777" w:rsidR="000B22BB" w:rsidRDefault="00F80C59">
            <w:pPr>
              <w:widowControl/>
              <w:numPr>
                <w:ilvl w:val="0"/>
                <w:numId w:val="1"/>
              </w:numPr>
              <w:spacing w:after="120"/>
              <w:jc w:val="both"/>
              <w:rPr>
                <w:sz w:val="24"/>
                <w:szCs w:val="24"/>
              </w:rPr>
            </w:pPr>
            <w:r>
              <w:rPr>
                <w:sz w:val="24"/>
                <w:szCs w:val="24"/>
              </w:rPr>
              <w:t>it is neces</w:t>
            </w:r>
            <w:r>
              <w:rPr>
                <w:sz w:val="24"/>
                <w:szCs w:val="24"/>
              </w:rPr>
              <w:t>sary for students to learn practical data analytics skills and get experience in using advanced data analytics tools and techniques through mandatory internship and participation in practical projects</w:t>
            </w:r>
            <w:bookmarkEnd w:id="0"/>
          </w:p>
          <w:p w14:paraId="5D9428BC" w14:textId="77777777" w:rsidR="000B22BB" w:rsidRDefault="00F80C59">
            <w:pPr>
              <w:spacing w:before="240"/>
              <w:jc w:val="both"/>
              <w:rPr>
                <w:sz w:val="24"/>
                <w:szCs w:val="24"/>
              </w:rPr>
            </w:pPr>
            <w:r>
              <w:rPr>
                <w:sz w:val="24"/>
                <w:szCs w:val="24"/>
              </w:rPr>
              <w:t>With regard to the real capacity of the Univer</w:t>
            </w:r>
            <w:r>
              <w:rPr>
                <w:sz w:val="24"/>
                <w:szCs w:val="24"/>
              </w:rPr>
              <w:t xml:space="preserve">sity of Belgrade, it has been decided that, in order to provide high-quality teaching, 35 students </w:t>
            </w:r>
            <w:r>
              <w:rPr>
                <w:sz w:val="24"/>
                <w:szCs w:val="24"/>
              </w:rPr>
              <w:t xml:space="preserve">per year </w:t>
            </w:r>
            <w:r>
              <w:rPr>
                <w:sz w:val="24"/>
                <w:szCs w:val="24"/>
              </w:rPr>
              <w:t xml:space="preserve">should be enrolled in the study program </w:t>
            </w:r>
            <w:r>
              <w:rPr>
                <w:b/>
                <w:sz w:val="24"/>
                <w:szCs w:val="24"/>
              </w:rPr>
              <w:t>Advanced Data Analytics</w:t>
            </w:r>
            <w:r>
              <w:rPr>
                <w:sz w:val="24"/>
                <w:szCs w:val="24"/>
              </w:rPr>
              <w:t>. It has been planned that those students enroll in September for the next academic y</w:t>
            </w:r>
            <w:r>
              <w:rPr>
                <w:sz w:val="24"/>
                <w:szCs w:val="24"/>
              </w:rPr>
              <w:t>ear.</w:t>
            </w:r>
          </w:p>
          <w:p w14:paraId="17EB9628" w14:textId="77777777" w:rsidR="000B22BB" w:rsidRDefault="00F80C59">
            <w:pPr>
              <w:spacing w:before="240"/>
              <w:jc w:val="both"/>
              <w:rPr>
                <w:sz w:val="24"/>
                <w:szCs w:val="24"/>
              </w:rPr>
            </w:pPr>
            <w:r>
              <w:rPr>
                <w:sz w:val="24"/>
                <w:szCs w:val="24"/>
              </w:rPr>
              <w:t xml:space="preserve">The process of enrolment is conducted by the Program Council of the </w:t>
            </w:r>
            <w:r>
              <w:rPr>
                <w:b/>
                <w:sz w:val="24"/>
                <w:szCs w:val="24"/>
              </w:rPr>
              <w:t>Advanced Data Analytics</w:t>
            </w:r>
            <w:r>
              <w:rPr>
                <w:sz w:val="24"/>
                <w:szCs w:val="24"/>
              </w:rPr>
              <w:t xml:space="preserve"> study program that includes teachers from the faculties of the University of Belgrade participating in the study program. The enrolment of candidates in the fi</w:t>
            </w:r>
            <w:r>
              <w:rPr>
                <w:sz w:val="24"/>
                <w:szCs w:val="24"/>
              </w:rPr>
              <w:t>rst year of the studies is conducted according to the public announcement (call for applications) published after an appropriate decision of the Senate of the University, and on the recommendation of the Council for university studies.</w:t>
            </w:r>
          </w:p>
          <w:p w14:paraId="43EC388D" w14:textId="77777777" w:rsidR="000B22BB" w:rsidRDefault="00F80C59">
            <w:pPr>
              <w:spacing w:before="240"/>
              <w:jc w:val="both"/>
              <w:rPr>
                <w:sz w:val="24"/>
                <w:szCs w:val="24"/>
              </w:rPr>
            </w:pPr>
            <w:r>
              <w:rPr>
                <w:sz w:val="24"/>
                <w:szCs w:val="24"/>
              </w:rPr>
              <w:t>Only students who ha</w:t>
            </w:r>
            <w:r>
              <w:rPr>
                <w:sz w:val="24"/>
                <w:szCs w:val="24"/>
              </w:rPr>
              <w:t>ve earned at least 240 ECTS credits during the undergraduate studies can be enrolled in this study program. There are no constraints in terms of previously earned degree title from the undergraduate studies, but the students are expected to be familiar wit</w:t>
            </w:r>
            <w:r>
              <w:rPr>
                <w:sz w:val="24"/>
                <w:szCs w:val="24"/>
              </w:rPr>
              <w:t>h introductory-level math/statistics and computing.</w:t>
            </w:r>
          </w:p>
          <w:p w14:paraId="58423FA7" w14:textId="77777777" w:rsidR="000B22BB" w:rsidRDefault="00F80C59">
            <w:pPr>
              <w:widowControl/>
              <w:spacing w:before="120" w:after="120"/>
              <w:jc w:val="both"/>
              <w:rPr>
                <w:sz w:val="24"/>
                <w:szCs w:val="24"/>
              </w:rPr>
            </w:pPr>
            <w:r>
              <w:rPr>
                <w:sz w:val="24"/>
                <w:szCs w:val="24"/>
              </w:rPr>
              <w:t>The students do not take a qualification exam. The list of applicants approved to enroll is created based on the candidates' GPA (achieved during undergraduate studies), the time they took to complete und</w:t>
            </w:r>
            <w:r>
              <w:rPr>
                <w:sz w:val="24"/>
                <w:szCs w:val="24"/>
              </w:rPr>
              <w:t>ergraduate studies, the courses they already took in math/statistics and computing during the undergraduate studies, and possible research results they have achieved. The maximum number of enrollees is 35.</w:t>
            </w:r>
          </w:p>
        </w:tc>
      </w:tr>
      <w:tr w:rsidR="000B22BB" w14:paraId="0EE4B644" w14:textId="77777777">
        <w:trPr>
          <w:jc w:val="center"/>
        </w:trPr>
        <w:tc>
          <w:tcPr>
            <w:tcW w:w="9648" w:type="dxa"/>
          </w:tcPr>
          <w:p w14:paraId="50ED72C1" w14:textId="77777777" w:rsidR="000B22BB" w:rsidRDefault="00F80C59">
            <w:pPr>
              <w:spacing w:before="120"/>
            </w:pPr>
            <w:bookmarkStart w:id="1" w:name="_gjdgxs" w:colFirst="0" w:colLast="0"/>
            <w:bookmarkEnd w:id="1"/>
            <w:proofErr w:type="spellStart"/>
            <w:r>
              <w:rPr>
                <w:b/>
              </w:rPr>
              <w:lastRenderedPageBreak/>
              <w:t>Прилог</w:t>
            </w:r>
            <w:proofErr w:type="spellEnd"/>
            <w:r>
              <w:rPr>
                <w:b/>
              </w:rPr>
              <w:t xml:space="preserve"> 7.2:</w:t>
            </w:r>
            <w:hyperlink r:id="rId5">
              <w:r>
                <w:rPr>
                  <w:color w:val="0000FF"/>
                  <w:u w:val="single"/>
                </w:rPr>
                <w:t xml:space="preserve">Решење о </w:t>
              </w:r>
              <w:proofErr w:type="spellStart"/>
              <w:r>
                <w:rPr>
                  <w:color w:val="0000FF"/>
                  <w:u w:val="single"/>
                </w:rPr>
                <w:t>именовању</w:t>
              </w:r>
              <w:proofErr w:type="spellEnd"/>
              <w:r>
                <w:rPr>
                  <w:color w:val="0000FF"/>
                  <w:u w:val="single"/>
                </w:rPr>
                <w:t xml:space="preserve"> </w:t>
              </w:r>
              <w:proofErr w:type="spellStart"/>
              <w:r>
                <w:rPr>
                  <w:color w:val="0000FF"/>
                  <w:u w:val="single"/>
                </w:rPr>
                <w:t>комисије</w:t>
              </w:r>
              <w:proofErr w:type="spellEnd"/>
              <w:r>
                <w:rPr>
                  <w:color w:val="0000FF"/>
                  <w:u w:val="single"/>
                </w:rPr>
                <w:t xml:space="preserve"> </w:t>
              </w:r>
              <w:proofErr w:type="spellStart"/>
              <w:r>
                <w:rPr>
                  <w:color w:val="0000FF"/>
                  <w:u w:val="single"/>
                </w:rPr>
                <w:t>за</w:t>
              </w:r>
              <w:proofErr w:type="spellEnd"/>
              <w:r>
                <w:rPr>
                  <w:color w:val="0000FF"/>
                  <w:u w:val="single"/>
                </w:rPr>
                <w:t xml:space="preserve"> </w:t>
              </w:r>
              <w:proofErr w:type="spellStart"/>
              <w:r>
                <w:rPr>
                  <w:color w:val="0000FF"/>
                  <w:u w:val="single"/>
                </w:rPr>
                <w:t>пријем</w:t>
              </w:r>
              <w:proofErr w:type="spellEnd"/>
              <w:r>
                <w:rPr>
                  <w:color w:val="0000FF"/>
                  <w:u w:val="single"/>
                </w:rPr>
                <w:t xml:space="preserve"> </w:t>
              </w:r>
              <w:proofErr w:type="spellStart"/>
              <w:r>
                <w:rPr>
                  <w:color w:val="0000FF"/>
                  <w:u w:val="single"/>
                </w:rPr>
                <w:t>студената</w:t>
              </w:r>
              <w:proofErr w:type="spellEnd"/>
            </w:hyperlink>
            <w:r>
              <w:t xml:space="preserve"> </w:t>
            </w:r>
          </w:p>
          <w:p w14:paraId="40583666" w14:textId="77777777" w:rsidR="000B22BB" w:rsidRDefault="00F80C59">
            <w:bookmarkStart w:id="2" w:name="_30j0zll" w:colFirst="0" w:colLast="0"/>
            <w:bookmarkEnd w:id="2"/>
            <w:proofErr w:type="spellStart"/>
            <w:r>
              <w:rPr>
                <w:b/>
              </w:rPr>
              <w:t>Прилог</w:t>
            </w:r>
            <w:proofErr w:type="spellEnd"/>
            <w:r>
              <w:rPr>
                <w:b/>
              </w:rPr>
              <w:t xml:space="preserve"> 7.3:</w:t>
            </w:r>
            <w:hyperlink r:id="rId6">
              <w:r>
                <w:rPr>
                  <w:color w:val="0000FF"/>
                  <w:u w:val="single"/>
                </w:rPr>
                <w:t xml:space="preserve">Правилник о </w:t>
              </w:r>
              <w:proofErr w:type="spellStart"/>
              <w:r>
                <w:rPr>
                  <w:color w:val="0000FF"/>
                  <w:u w:val="single"/>
                </w:rPr>
                <w:t>условима</w:t>
              </w:r>
              <w:proofErr w:type="spellEnd"/>
              <w:r>
                <w:rPr>
                  <w:color w:val="0000FF"/>
                  <w:u w:val="single"/>
                </w:rPr>
                <w:t xml:space="preserve"> </w:t>
              </w:r>
              <w:proofErr w:type="spellStart"/>
              <w:r>
                <w:rPr>
                  <w:color w:val="0000FF"/>
                  <w:u w:val="single"/>
                </w:rPr>
                <w:t>уписа</w:t>
              </w:r>
              <w:proofErr w:type="spellEnd"/>
            </w:hyperlink>
            <w:r>
              <w:t xml:space="preserve"> </w:t>
            </w:r>
          </w:p>
          <w:p w14:paraId="132BB5A8" w14:textId="77777777" w:rsidR="000B22BB" w:rsidRDefault="00F80C59">
            <w:pPr>
              <w:spacing w:after="120"/>
            </w:pPr>
            <w:bookmarkStart w:id="3" w:name="_1fob9te" w:colFirst="0" w:colLast="0"/>
            <w:bookmarkEnd w:id="3"/>
            <w:proofErr w:type="spellStart"/>
            <w:r>
              <w:rPr>
                <w:b/>
              </w:rPr>
              <w:t>Прилог</w:t>
            </w:r>
            <w:proofErr w:type="spellEnd"/>
            <w:r>
              <w:rPr>
                <w:b/>
              </w:rPr>
              <w:t xml:space="preserve"> 7.4:</w:t>
            </w:r>
            <w:r>
              <w:t xml:space="preserve"> </w:t>
            </w:r>
            <w:hyperlink r:id="rId7">
              <w:proofErr w:type="spellStart"/>
              <w:r>
                <w:rPr>
                  <w:color w:val="0000FF"/>
                  <w:u w:val="single"/>
                </w:rPr>
                <w:t>Одлука</w:t>
              </w:r>
              <w:proofErr w:type="spellEnd"/>
              <w:r>
                <w:rPr>
                  <w:color w:val="0000FF"/>
                  <w:u w:val="single"/>
                </w:rPr>
                <w:t xml:space="preserve"> о </w:t>
              </w:r>
              <w:proofErr w:type="spellStart"/>
              <w:r>
                <w:rPr>
                  <w:color w:val="0000FF"/>
                  <w:u w:val="single"/>
                </w:rPr>
                <w:t>формирању</w:t>
              </w:r>
              <w:proofErr w:type="spellEnd"/>
              <w:r>
                <w:rPr>
                  <w:color w:val="0000FF"/>
                  <w:u w:val="single"/>
                </w:rPr>
                <w:t xml:space="preserve"> </w:t>
              </w:r>
              <w:proofErr w:type="spellStart"/>
              <w:r>
                <w:rPr>
                  <w:color w:val="0000FF"/>
                  <w:u w:val="single"/>
                </w:rPr>
                <w:t>Програмског</w:t>
              </w:r>
              <w:proofErr w:type="spellEnd"/>
              <w:r>
                <w:rPr>
                  <w:color w:val="0000FF"/>
                  <w:u w:val="single"/>
                </w:rPr>
                <w:t xml:space="preserve"> </w:t>
              </w:r>
              <w:proofErr w:type="spellStart"/>
              <w:r>
                <w:rPr>
                  <w:color w:val="0000FF"/>
                  <w:u w:val="single"/>
                </w:rPr>
                <w:t>савета</w:t>
              </w:r>
              <w:proofErr w:type="spellEnd"/>
              <w:r>
                <w:rPr>
                  <w:color w:val="0000FF"/>
                  <w:u w:val="single"/>
                </w:rPr>
                <w:t xml:space="preserve"> </w:t>
              </w:r>
              <w:proofErr w:type="spellStart"/>
              <w:r>
                <w:rPr>
                  <w:color w:val="0000FF"/>
                  <w:u w:val="single"/>
                </w:rPr>
                <w:t>студијског</w:t>
              </w:r>
              <w:proofErr w:type="spellEnd"/>
              <w:r>
                <w:rPr>
                  <w:color w:val="0000FF"/>
                  <w:u w:val="single"/>
                </w:rPr>
                <w:t xml:space="preserve"> </w:t>
              </w:r>
              <w:proofErr w:type="spellStart"/>
              <w:r>
                <w:rPr>
                  <w:color w:val="0000FF"/>
                  <w:u w:val="single"/>
                </w:rPr>
                <w:t>програма</w:t>
              </w:r>
              <w:proofErr w:type="spellEnd"/>
            </w:hyperlink>
          </w:p>
        </w:tc>
      </w:tr>
    </w:tbl>
    <w:p w14:paraId="77310612" w14:textId="77777777" w:rsidR="000B22BB" w:rsidRDefault="000B22BB"/>
    <w:sectPr w:rsidR="000B22BB">
      <w:pgSz w:w="11907" w:h="16840"/>
      <w:pgMar w:top="1134" w:right="1134" w:bottom="113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41F8E"/>
    <w:multiLevelType w:val="multilevel"/>
    <w:tmpl w:val="9260DF9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2BB"/>
    <w:rsid w:val="000B22BB"/>
    <w:rsid w:val="00F80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D32FF"/>
  <w15:docId w15:val="{93376E46-082D-4874-B70F-F9C8F2F25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80C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C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rilozi/P-5-4%20Programski%20savet.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ilozi/P-7-3%20Pravilnik%20o%20upisu.pdf" TargetMode="External"/><Relationship Id="rId5" Type="http://schemas.openxmlformats.org/officeDocument/2006/relationships/hyperlink" Target="http://../prilozi/P-7-2%20Komisija%20za%20upis.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557</Words>
  <Characters>3178</Characters>
  <Application>Microsoft Office Word</Application>
  <DocSecurity>0</DocSecurity>
  <Lines>26</Lines>
  <Paragraphs>7</Paragraphs>
  <ScaleCrop>false</ScaleCrop>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Vladan</cp:lastModifiedBy>
  <cp:revision>2</cp:revision>
  <dcterms:created xsi:type="dcterms:W3CDTF">2019-04-16T12:28:00Z</dcterms:created>
  <dcterms:modified xsi:type="dcterms:W3CDTF">2019-04-16T12:29:00Z</dcterms:modified>
</cp:coreProperties>
</file>